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2017</w:t>
      </w:r>
      <w:r>
        <w:rPr>
          <w:rFonts w:hint="eastAsia" w:ascii="宋体" w:hAnsi="宋体" w:eastAsia="宋体"/>
          <w:b/>
          <w:sz w:val="44"/>
          <w:szCs w:val="44"/>
        </w:rPr>
        <w:t>年资质管理工作重点</w:t>
      </w:r>
    </w:p>
    <w:p>
      <w:pPr>
        <w:jc w:val="center"/>
      </w:pPr>
    </w:p>
    <w:p>
      <w:pPr>
        <w:rPr>
          <w:rFonts w:cs="仿宋"/>
          <w:kern w:val="0"/>
        </w:rPr>
      </w:pPr>
    </w:p>
    <w:p>
      <w:pPr>
        <w:rPr>
          <w:rFonts w:ascii="黑体" w:hAnsi="Times New Roman" w:eastAsia="黑体"/>
        </w:rPr>
      </w:pPr>
      <w:r>
        <w:rPr>
          <w:rFonts w:cs="仿宋"/>
          <w:kern w:val="0"/>
        </w:rPr>
        <w:t xml:space="preserve">    2017</w:t>
      </w:r>
      <w:r>
        <w:rPr>
          <w:rFonts w:hint="eastAsia" w:cs="仿宋"/>
          <w:kern w:val="0"/>
        </w:rPr>
        <w:t>年资质管理工作的总体思路是：</w:t>
      </w:r>
      <w:r>
        <w:rPr>
          <w:rFonts w:hint="eastAsia"/>
          <w:b w:val="0"/>
          <w:bCs/>
        </w:rPr>
        <w:t>深入贯彻党的十八大、十八届三中、四中、五中、六中全会和习近平总书记系列讲话精神，践行“创新、协调、绿色、开放、共享”五大发展理念，认真落实全国能源工作会议精神，强化目标导向、问题导向、发展导向，继续以简政放权、推进优化服务为中心，适应能源发展改革新形势新任务，全面加强资质管理工作，切实发挥许可监管的规范保障作用，大力推进能源行业信用体系建设应用，为深入推进能源行业治理方式转变、促进能源行业健康可持续发展作出贡献。</w:t>
      </w:r>
      <w:r>
        <w:rPr>
          <w:rFonts w:hint="eastAsia"/>
        </w:rPr>
        <w:t>突出抓好以下工作：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一、加强资质管理法规及标准化建设</w:t>
      </w:r>
    </w:p>
    <w:p>
      <w:pPr>
        <w:ind w:firstLine="640" w:firstLineChars="200"/>
        <w:rPr>
          <w:rFonts w:ascii="楷体" w:hAnsi="楷体" w:eastAsia="楷体" w:cs="楷体"/>
        </w:rPr>
      </w:pPr>
      <w:r>
        <w:rPr>
          <w:rFonts w:ascii="楷体" w:hAnsi="楷体" w:eastAsia="楷体"/>
          <w:b/>
          <w:bCs/>
        </w:rPr>
        <w:t>(</w:t>
      </w:r>
      <w:r>
        <w:rPr>
          <w:rFonts w:hint="eastAsia" w:ascii="楷体" w:hAnsi="楷体" w:eastAsia="楷体"/>
          <w:b/>
          <w:bCs/>
        </w:rPr>
        <w:t>一）</w:t>
      </w:r>
      <w:r>
        <w:rPr>
          <w:rFonts w:hint="eastAsia" w:ascii="楷体" w:hAnsi="楷体" w:eastAsia="楷体" w:cs="楷体"/>
          <w:b/>
          <w:bCs/>
        </w:rPr>
        <w:t>开展资质管理法规修订研究工作。</w:t>
      </w:r>
      <w:r>
        <w:rPr>
          <w:rFonts w:hint="eastAsia" w:cs="仿宋"/>
        </w:rPr>
        <w:t>结合简政放权、放管结合、优化服务工作要求，组织开展</w:t>
      </w:r>
      <w:r>
        <w:rPr>
          <w:rFonts w:hint="eastAsia" w:cs="楷体"/>
        </w:rPr>
        <w:t>《承装（修、试）电力设施许可证管理办法》（原电监会</w:t>
      </w:r>
      <w:r>
        <w:rPr>
          <w:rFonts w:cs="楷体"/>
        </w:rPr>
        <w:t>28</w:t>
      </w:r>
      <w:r>
        <w:rPr>
          <w:rFonts w:hint="eastAsia" w:cs="楷体"/>
        </w:rPr>
        <w:t>令）的</w:t>
      </w:r>
      <w:r>
        <w:rPr>
          <w:rFonts w:hint="eastAsia" w:cs="仿宋"/>
        </w:rPr>
        <w:t>修订研究工作。配合做好《能源法》、《电力法》的起草、修订工作。</w:t>
      </w:r>
      <w:r>
        <w:rPr>
          <w:rFonts w:hint="eastAsia"/>
        </w:rPr>
        <w:t>紧密跟踪电力体制改革的新动向和地方电改工作新进展，加强调查研究，对许可证颁发过程中的问题及时梳理研究，不断完善许可制度。</w:t>
      </w:r>
    </w:p>
    <w:p>
      <w:pPr>
        <w:ind w:firstLine="640" w:firstLineChars="200"/>
        <w:rPr>
          <w:rFonts w:cs="宋体"/>
          <w:kern w:val="0"/>
        </w:rPr>
      </w:pPr>
      <w:r>
        <w:rPr>
          <w:rFonts w:hint="eastAsia" w:ascii="楷体" w:hAnsi="楷体" w:eastAsia="楷体"/>
          <w:b/>
          <w:bCs/>
        </w:rPr>
        <w:t>（二）建立资质许可标准化工作体系。</w:t>
      </w:r>
      <w:r>
        <w:rPr>
          <w:rFonts w:hint="eastAsia"/>
          <w:bCs/>
        </w:rPr>
        <w:t>对照</w:t>
      </w:r>
      <w:r>
        <w:rPr>
          <w:rFonts w:hint="eastAsia"/>
        </w:rPr>
        <w:t>《行政许可标准化指引（</w:t>
      </w:r>
      <w:r>
        <w:t>2016</w:t>
      </w:r>
      <w:r>
        <w:rPr>
          <w:rFonts w:hint="eastAsia"/>
        </w:rPr>
        <w:t>）版》</w:t>
      </w:r>
      <w:r>
        <w:rPr>
          <w:rFonts w:hint="eastAsia" w:cs="宋体"/>
          <w:kern w:val="0"/>
        </w:rPr>
        <w:t>编制形成国家能源局电力业务及承装（修、试）电力设施行政许可标准化工作系列规范性文件，同步调整完善网上许可受理平台相关公示信息及审批流程，</w:t>
      </w:r>
      <w:r>
        <w:rPr>
          <w:rFonts w:hint="eastAsia"/>
          <w:bCs/>
        </w:rPr>
        <w:t>研究制定行政许可标准化工作监督检查及评价办法，适时对各派出能源监管机构</w:t>
      </w:r>
      <w:r>
        <w:rPr>
          <w:rFonts w:hint="eastAsia" w:cs="宋体"/>
          <w:kern w:val="0"/>
        </w:rPr>
        <w:t>行政许可行为进行检查评价。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楷体" w:hAnsi="楷体" w:eastAsia="楷体" w:cs="仿宋_GB2312"/>
          <w:b/>
          <w:bCs/>
        </w:rPr>
        <w:t>（三）组织开展</w:t>
      </w:r>
      <w:r>
        <w:rPr>
          <w:rFonts w:hint="eastAsia" w:ascii="楷体" w:hAnsi="楷体" w:eastAsia="楷体" w:cs="楷体"/>
          <w:b/>
          <w:bCs/>
        </w:rPr>
        <w:t>承装（修、试）电力设施许可施工</w:t>
      </w:r>
      <w:r>
        <w:rPr>
          <w:rFonts w:hint="eastAsia" w:ascii="楷体" w:hAnsi="楷体" w:eastAsia="楷体" w:cs="仿宋_GB2312"/>
          <w:b/>
          <w:bCs/>
        </w:rPr>
        <w:t>机具设备标准的研究和修订工作。</w:t>
      </w:r>
      <w:r>
        <w:rPr>
          <w:rFonts w:hint="eastAsia" w:cs="仿宋_GB2312"/>
        </w:rPr>
        <w:t>进一步研究细化不同等级、不同类别机具设备的数量、规格等要求；结合简政放权工作要求，研究设定可以租赁、租借等设备的范围。修订后的参考标准作为全国统一的机具设备最基础的标准要求。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二、严格资质许可准入监管</w:t>
      </w:r>
    </w:p>
    <w:p>
      <w:pPr>
        <w:ind w:firstLine="645"/>
      </w:pPr>
      <w:r>
        <w:rPr>
          <w:rFonts w:hint="eastAsia" w:ascii="楷体" w:hAnsi="楷体" w:eastAsia="楷体"/>
          <w:b/>
          <w:bCs/>
        </w:rPr>
        <w:t>（四）加强许可准入监管。</w:t>
      </w:r>
      <w:r>
        <w:rPr>
          <w:rFonts w:hint="eastAsia"/>
        </w:rPr>
        <w:t>严格落实防范化解煤电产能过剩风险的各项政策措施，按照国家有关法律、法规和规范性文件等要求，牢牢把好许可关口，对于未核先建、违规核准、未按核准要求建设等违规项目按照有关要求不予办理业务许可证。促进落后产能项目退出市场。</w:t>
      </w:r>
    </w:p>
    <w:p>
      <w:pPr>
        <w:ind w:firstLine="640" w:firstLineChars="200"/>
      </w:pPr>
      <w:r>
        <w:rPr>
          <w:rFonts w:hint="eastAsia" w:ascii="楷体" w:hAnsi="楷体" w:eastAsia="楷体"/>
          <w:b/>
          <w:bCs/>
        </w:rPr>
        <w:t>（五）加强发</w:t>
      </w:r>
      <w:r>
        <w:rPr>
          <w:rFonts w:hint="eastAsia" w:ascii="楷体" w:hAnsi="楷体" w:eastAsia="楷体"/>
          <w:b/>
          <w:bCs/>
        </w:rPr>
        <w:t>电项目许可问题监管。</w:t>
      </w:r>
      <w:r>
        <w:rPr>
          <w:rFonts w:hint="eastAsia"/>
          <w:bCs/>
        </w:rPr>
        <w:t>组织对全国无证发电企业开展监管，严格许可制度，</w:t>
      </w:r>
      <w:r>
        <w:rPr>
          <w:rFonts w:hint="eastAsia"/>
        </w:rPr>
        <w:t>认真梳理违规项目情况，督促相关企业落实整改要求。充分发挥许可证功效，对到达设计寿命的机组开展监管，淘汰不再适合继续运行的落后产能。</w:t>
      </w:r>
    </w:p>
    <w:p>
      <w:pPr>
        <w:ind w:firstLine="640" w:firstLineChars="200"/>
        <w:rPr>
          <w:rFonts w:cs="仿宋"/>
        </w:rPr>
      </w:pPr>
      <w:r>
        <w:rPr>
          <w:rFonts w:hint="eastAsia" w:ascii="楷体" w:hAnsi="楷体" w:eastAsia="楷体"/>
          <w:b/>
          <w:bCs/>
        </w:rPr>
        <w:t>（六）加强承装（修、试）电力建设市场问题监管。</w:t>
      </w:r>
      <w:r>
        <w:rPr>
          <w:rFonts w:hint="eastAsia" w:cs="仿宋"/>
        </w:rPr>
        <w:t>以问题为导向，加强对承装（修、试）电力设施企业的事中事</w:t>
      </w:r>
      <w:r>
        <w:rPr>
          <w:rFonts w:hint="eastAsia" w:cs="楷体"/>
        </w:rPr>
        <w:t>后监管，在电网建设全过程中规范</w:t>
      </w:r>
      <w:r>
        <w:rPr>
          <w:rFonts w:hint="eastAsia" w:cs="仿宋"/>
        </w:rPr>
        <w:t>承装（修、试）电力设施许可行为，配合电力工程安全监管部门开展监督检查，严肃查处电力建设领域违反资质法律法规的行为，维护承装、承修、承试电力设施市场秩序。</w:t>
      </w:r>
    </w:p>
    <w:p>
      <w:pPr>
        <w:ind w:firstLine="64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  <w:b/>
          <w:bCs/>
        </w:rPr>
        <w:t>（七）规范配（售）电业务许可。</w:t>
      </w:r>
      <w:r>
        <w:rPr>
          <w:rFonts w:hint="eastAsia"/>
        </w:rPr>
        <w:t>做好增量配电业务许可工作，</w:t>
      </w:r>
      <w:r>
        <w:rPr>
          <w:rFonts w:hint="eastAsia" w:ascii="宋体" w:hAnsi="宋体" w:eastAsia="宋体" w:cs="宋体"/>
        </w:rPr>
        <w:t>规范有序开展拥有配电网运营权售电公司电力业务许可证（供电类）的颁发、管理工作，把好风险关口。重点开展增量配电业务改革试点项目许可证颁发和相关调查研究，为社会资本参与增量配电业务创造条件，推动售电侧改革政策落地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三、深化资质管理放管服改革</w:t>
      </w:r>
    </w:p>
    <w:p>
      <w:pPr>
        <w:ind w:firstLine="645"/>
        <w:rPr>
          <w:rFonts w:ascii="楷体" w:hAnsi="楷体" w:eastAsia="楷体"/>
        </w:rPr>
      </w:pPr>
      <w:r>
        <w:rPr>
          <w:rFonts w:hint="eastAsia" w:ascii="楷体" w:hAnsi="楷体" w:eastAsia="楷体"/>
          <w:b/>
          <w:bCs/>
        </w:rPr>
        <w:t>（八）继续</w:t>
      </w:r>
      <w:r>
        <w:rPr>
          <w:rFonts w:hint="eastAsia" w:ascii="楷体" w:hAnsi="楷体" w:eastAsia="楷体" w:cs="宋体"/>
          <w:b/>
          <w:bCs/>
        </w:rPr>
        <w:t>完善资质管理信息系统。</w:t>
      </w:r>
      <w:r>
        <w:rPr>
          <w:rFonts w:hint="eastAsia" w:cs="宋体"/>
        </w:rPr>
        <w:t>各派出能源监管机构按照《国家能源局综合司关于印发派出机构综合监管信息系统建设规范</w:t>
      </w:r>
      <w:r>
        <w:rPr>
          <w:rFonts w:cs="宋体"/>
        </w:rPr>
        <w:t>(</w:t>
      </w:r>
      <w:r>
        <w:rPr>
          <w:rFonts w:hint="eastAsia" w:cs="宋体"/>
        </w:rPr>
        <w:t>试行</w:t>
      </w:r>
      <w:r>
        <w:rPr>
          <w:rFonts w:cs="宋体"/>
        </w:rPr>
        <w:t>)</w:t>
      </w:r>
      <w:r>
        <w:rPr>
          <w:rFonts w:hint="eastAsia" w:cs="宋体"/>
        </w:rPr>
        <w:t>的通知》（国能综字〔</w:t>
      </w:r>
      <w:r>
        <w:rPr>
          <w:rFonts w:cs="宋体"/>
        </w:rPr>
        <w:t>2014</w:t>
      </w:r>
      <w:r>
        <w:rPr>
          <w:rFonts w:hint="eastAsia" w:cs="宋体"/>
        </w:rPr>
        <w:t>〕</w:t>
      </w:r>
      <w:r>
        <w:rPr>
          <w:rFonts w:cs="宋体"/>
        </w:rPr>
        <w:t>691</w:t>
      </w:r>
      <w:r>
        <w:rPr>
          <w:rFonts w:hint="eastAsia" w:cs="宋体"/>
        </w:rPr>
        <w:t>）要求，对各自资质管理信息系统进行自查，根据有关要求对系统进行改造、升级，实现互联互通、信息共享，在此基础上开发建设全国资质许可监管信息系统。</w:t>
      </w:r>
    </w:p>
    <w:p>
      <w:pPr>
        <w:ind w:firstLine="640" w:firstLineChars="200"/>
        <w:rPr>
          <w:rFonts w:cs="仿宋"/>
        </w:rPr>
      </w:pPr>
      <w:r>
        <w:rPr>
          <w:rFonts w:hint="eastAsia" w:ascii="楷体" w:hAnsi="楷体" w:eastAsia="楷体" w:cs="仿宋"/>
          <w:b/>
          <w:bCs/>
        </w:rPr>
        <w:t>（九）积极推进资质管理“双随机、一公开”工作</w:t>
      </w:r>
      <w:r>
        <w:rPr>
          <w:rFonts w:hint="eastAsia" w:ascii="楷体" w:hAnsi="楷体" w:eastAsia="楷体" w:cs="楷体"/>
          <w:b/>
          <w:bCs/>
          <w:color w:val="333333"/>
          <w:shd w:val="clear" w:color="auto" w:fill="FFFFFF"/>
        </w:rPr>
        <w:t>。</w:t>
      </w:r>
      <w:r>
        <w:rPr>
          <w:rFonts w:hint="eastAsia" w:cs="仿宋"/>
          <w:shd w:val="clear" w:color="auto" w:fill="FFFFFF"/>
        </w:rPr>
        <w:t>建立检查对象名录库和执法检查人员名录库，着手制订随机抽查工作细则</w:t>
      </w:r>
      <w:r>
        <w:rPr>
          <w:rFonts w:hint="eastAsia" w:cs="仿宋"/>
          <w:color w:val="333333"/>
          <w:shd w:val="clear" w:color="auto" w:fill="FFFFFF"/>
        </w:rPr>
        <w:t>，</w:t>
      </w:r>
      <w:r>
        <w:rPr>
          <w:rFonts w:hint="eastAsia" w:cs="仿宋"/>
        </w:rPr>
        <w:t>形成具体操作规程和检查标准，突出可操作性和实效性。在</w:t>
      </w:r>
      <w:r>
        <w:rPr>
          <w:rFonts w:cs="仿宋"/>
        </w:rPr>
        <w:t>2017</w:t>
      </w:r>
      <w:r>
        <w:rPr>
          <w:rFonts w:hint="eastAsia" w:cs="仿宋"/>
        </w:rPr>
        <w:t>年底前要实现随机抽查事项全覆盖。</w:t>
      </w:r>
    </w:p>
    <w:p>
      <w:pPr>
        <w:ind w:firstLine="640" w:firstLineChars="200"/>
        <w:rPr>
          <w:rFonts w:ascii="楷体" w:hAnsi="楷体" w:eastAsia="楷体" w:cs="仿宋"/>
        </w:rPr>
      </w:pPr>
      <w:r>
        <w:rPr>
          <w:rFonts w:ascii="楷体" w:hAnsi="楷体" w:eastAsia="楷体" w:cs="仿宋"/>
          <w:b/>
          <w:bCs/>
        </w:rPr>
        <w:t>(</w:t>
      </w:r>
      <w:r>
        <w:rPr>
          <w:rFonts w:hint="eastAsia" w:ascii="楷体" w:hAnsi="楷体" w:eastAsia="楷体" w:cs="仿宋"/>
          <w:b/>
          <w:bCs/>
        </w:rPr>
        <w:t>十</w:t>
      </w:r>
      <w:r>
        <w:rPr>
          <w:rFonts w:ascii="楷体" w:hAnsi="楷体" w:eastAsia="楷体" w:cs="仿宋"/>
          <w:b/>
          <w:bCs/>
        </w:rPr>
        <w:t>)</w:t>
      </w:r>
      <w:r>
        <w:rPr>
          <w:rFonts w:hint="eastAsia" w:ascii="楷体" w:hAnsi="楷体" w:eastAsia="楷体" w:cs="仿宋"/>
          <w:b/>
          <w:bCs/>
        </w:rPr>
        <w:t>继续完成电工进网作业许可证整合工作。</w:t>
      </w:r>
      <w:r>
        <w:rPr>
          <w:rFonts w:hint="eastAsia"/>
        </w:rPr>
        <w:t>按照国务院及中央编办（审改办）批复意见，做好</w:t>
      </w:r>
      <w:r>
        <w:rPr>
          <w:rFonts w:hint="eastAsia" w:cs="仿宋"/>
        </w:rPr>
        <w:t>电工进网作业许可证</w:t>
      </w:r>
      <w:r>
        <w:rPr>
          <w:rFonts w:hint="eastAsia"/>
        </w:rPr>
        <w:t>整合后的移交、衔接等配合工作。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楷体" w:hAnsi="楷体" w:eastAsia="楷体"/>
          <w:b/>
          <w:bCs/>
          <w:kern w:val="0"/>
          <w:lang w:val="zh-CN"/>
        </w:rPr>
        <w:t>（十一）进一步丰富许可服务手段。</w:t>
      </w:r>
      <w:r>
        <w:rPr>
          <w:rFonts w:hint="eastAsia" w:ascii="Calibri" w:hAnsi="Calibri"/>
        </w:rPr>
        <w:t>建立国家能源局电力业务资质管理中心官方微信公众号</w:t>
      </w:r>
      <w:r>
        <w:rPr>
          <w:rFonts w:hint="eastAsia"/>
          <w:kern w:val="0"/>
          <w:lang w:val="zh-CN"/>
        </w:rPr>
        <w:t>，方便企业和个人通过客户端接受许可申请查询、企业信用记录查询以及申请信用评价等服务。组织编写许可管理问答手册，向市场主体宣传相关政策和业务知识，以加强企业日常培训和学习能力，提高业务水平，解决企业日常业务咨询“碎片化”问题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四、深入推进信用体系建设工作</w:t>
      </w:r>
    </w:p>
    <w:p>
      <w:pPr>
        <w:ind w:firstLine="645"/>
      </w:pPr>
      <w:r>
        <w:rPr>
          <w:rFonts w:hint="eastAsia" w:ascii="楷体" w:hAnsi="楷体" w:eastAsia="楷体" w:cs="宋体"/>
          <w:b/>
          <w:bCs/>
        </w:rPr>
        <w:t>（十二）</w:t>
      </w:r>
      <w:r>
        <w:rPr>
          <w:rFonts w:hint="eastAsia" w:ascii="楷体" w:hAnsi="楷体" w:eastAsia="楷体"/>
          <w:b/>
          <w:bCs/>
        </w:rPr>
        <w:t>建立健全信用制度。</w:t>
      </w:r>
      <w:r>
        <w:rPr>
          <w:rFonts w:hint="eastAsia"/>
        </w:rPr>
        <w:t>制定完成《能源行业市场主体信用评价管理办法》、《能源行业严重失信市场主体“黑名单”管理暂行规定》、《能源行业信用信息目录》、《能源行业信用行为分类指导目录》、《能源行业信用信息应用目录》、《能源行业市场主体守信激励与失信惩戒办法》等制度，建立健全能源行业信用制度体系，夯实能源行业信用体系建设的制度基础。</w:t>
      </w:r>
    </w:p>
    <w:p>
      <w:pPr>
        <w:ind w:firstLine="645"/>
      </w:pPr>
      <w:r>
        <w:rPr>
          <w:rFonts w:hint="eastAsia" w:ascii="楷体" w:hAnsi="楷体" w:eastAsia="楷体"/>
          <w:b/>
          <w:bCs/>
        </w:rPr>
        <w:t>（十三）建设能源行业信用信息系统。</w:t>
      </w:r>
      <w:r>
        <w:rPr>
          <w:rFonts w:hint="eastAsia"/>
        </w:rPr>
        <w:t>开展能源行业信用信息系统设计、开发、建设，建立统一的社会信用代码，编写规范的能源行业信用信息标准。实现与能源行业市场主体、能源行业监管机构、能源行业相关协会及其他相关部门信用信息的互联互通。</w:t>
      </w:r>
    </w:p>
    <w:p>
      <w:pPr>
        <w:ind w:firstLine="645"/>
      </w:pPr>
      <w:r>
        <w:rPr>
          <w:rFonts w:hint="eastAsia" w:ascii="楷体" w:hAnsi="楷体" w:eastAsia="楷体"/>
          <w:b/>
          <w:bCs/>
        </w:rPr>
        <w:t>（十四）建设“信用能源”网站。</w:t>
      </w:r>
      <w:r>
        <w:rPr>
          <w:rFonts w:hint="eastAsia"/>
        </w:rPr>
        <w:t>推进信用信息公开与使用，提供能源行业信用信息查询服务，发布“红黑名单”和信用评价结果，打造能源行业网上信用服务窗口。及时公示市场主体的信用信息。加强信用信息使用，推动有关部门和单位在行政审批、资质审核、招标投标等领域应用能源行业市场主体信用信息。</w:t>
      </w:r>
    </w:p>
    <w:p>
      <w:pPr>
        <w:ind w:firstLine="645"/>
      </w:pPr>
      <w:r>
        <w:rPr>
          <w:rFonts w:hint="eastAsia" w:ascii="楷体" w:hAnsi="楷体" w:eastAsia="楷体"/>
          <w:b/>
          <w:bCs/>
        </w:rPr>
        <w:t>（十五）完善能源行业信用评价指标体系。</w:t>
      </w:r>
      <w:r>
        <w:rPr>
          <w:rFonts w:hint="eastAsia"/>
        </w:rPr>
        <w:t>进一步推进信用评价工作</w:t>
      </w:r>
      <w:r>
        <w:t>,</w:t>
      </w:r>
      <w:r>
        <w:rPr>
          <w:rFonts w:hint="eastAsia"/>
        </w:rPr>
        <w:t>严格评价程序，监督评价机构依法依规开展评价活动，实现信用评价结果的公示、查询和共享。</w:t>
      </w:r>
    </w:p>
    <w:p>
      <w:pPr>
        <w:ind w:firstLine="645"/>
      </w:pPr>
      <w:r>
        <w:rPr>
          <w:rFonts w:hint="eastAsia" w:ascii="楷体" w:hAnsi="楷体" w:eastAsia="楷体" w:cs="宋体"/>
          <w:b/>
          <w:bCs/>
        </w:rPr>
        <w:t>（十六）</w:t>
      </w:r>
      <w:r>
        <w:rPr>
          <w:rFonts w:hint="eastAsia" w:ascii="楷体" w:hAnsi="楷体" w:eastAsia="楷体"/>
          <w:b/>
          <w:bCs/>
        </w:rPr>
        <w:t>落实守信激励与联合惩戒。</w:t>
      </w:r>
      <w:r>
        <w:rPr>
          <w:rFonts w:hint="eastAsia"/>
        </w:rPr>
        <w:t>多渠道树立能源行业诚信典型，联合其他部门对诚信市场主体实施守信激励。依法依规对能源行业失信行为作出处理和评价，联合其他部门对严重失信行为采取惩戒措施。</w:t>
      </w:r>
    </w:p>
    <w:p>
      <w:pPr>
        <w:ind w:firstLine="640" w:firstLineChars="200"/>
      </w:pPr>
      <w:r>
        <w:rPr>
          <w:rFonts w:hint="eastAsia" w:ascii="楷体" w:hAnsi="楷体" w:eastAsia="楷体" w:cs="宋体"/>
          <w:b/>
          <w:bCs/>
        </w:rPr>
        <w:t>（十七）开展信用培训工作。</w:t>
      </w:r>
      <w:r>
        <w:rPr>
          <w:rFonts w:hint="eastAsia"/>
        </w:rPr>
        <w:t>开展能源行业信用体系建</w:t>
      </w:r>
      <w:r>
        <w:rPr>
          <w:rFonts w:hint="eastAsia" w:cs="宋体"/>
        </w:rPr>
        <w:t>设</w:t>
      </w:r>
      <w:r>
        <w:rPr>
          <w:rFonts w:hint="eastAsia"/>
        </w:rPr>
        <w:t>专题培训工作，编制和印发培训教材，向从业人员普及和培训能源行业信用知识和政策制度。</w:t>
      </w:r>
    </w:p>
    <w:p>
      <w:pPr>
        <w:widowControl/>
        <w:ind w:firstLine="64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五、做好能源领域</w:t>
      </w:r>
      <w:r>
        <w:rPr>
          <w:rFonts w:ascii="黑体" w:hAnsi="黑体" w:eastAsia="黑体"/>
        </w:rPr>
        <w:t>GPA</w:t>
      </w:r>
      <w:r>
        <w:rPr>
          <w:rFonts w:hint="eastAsia" w:ascii="黑体" w:hAnsi="黑体" w:eastAsia="黑体"/>
        </w:rPr>
        <w:t>、反垄断等工作</w:t>
      </w:r>
    </w:p>
    <w:p>
      <w:pPr>
        <w:widowControl/>
        <w:ind w:firstLine="640" w:firstLineChars="200"/>
        <w:jc w:val="left"/>
      </w:pPr>
      <w:r>
        <w:rPr>
          <w:rFonts w:hint="eastAsia" w:ascii="楷体" w:hAnsi="楷体" w:eastAsia="楷体" w:cs="宋体"/>
          <w:b/>
          <w:bCs/>
        </w:rPr>
        <w:t>（十八）扎实做好</w:t>
      </w:r>
      <w:r>
        <w:rPr>
          <w:rFonts w:ascii="楷体" w:hAnsi="楷体" w:eastAsia="楷体" w:cs="宋体"/>
          <w:b/>
          <w:bCs/>
        </w:rPr>
        <w:t>GPA</w:t>
      </w:r>
      <w:r>
        <w:rPr>
          <w:rFonts w:hint="eastAsia" w:ascii="楷体" w:hAnsi="楷体" w:eastAsia="楷体" w:cs="宋体"/>
          <w:b/>
          <w:bCs/>
        </w:rPr>
        <w:t>谈判出价支持工作。</w:t>
      </w:r>
      <w:r>
        <w:rPr>
          <w:rFonts w:hint="eastAsia"/>
        </w:rPr>
        <w:t>根据国务院针对《政府采购协议》第七轮谈判的出价要求，协调国网、南网两家电网公司，做好列入电力行业出价实体的准备工作，研究形成具体出价方案。</w:t>
      </w:r>
    </w:p>
    <w:p>
      <w:pPr>
        <w:widowControl/>
        <w:ind w:firstLine="640" w:firstLineChars="200"/>
        <w:jc w:val="left"/>
      </w:pPr>
      <w:r>
        <w:rPr>
          <w:rFonts w:hint="eastAsia" w:ascii="楷体" w:hAnsi="楷体" w:eastAsia="楷体" w:cs="宋体"/>
          <w:b/>
          <w:bCs/>
        </w:rPr>
        <w:t>（十九）组织开展《反垄断法》等学习培训。</w:t>
      </w:r>
      <w:r>
        <w:rPr>
          <w:rFonts w:hint="eastAsia"/>
        </w:rPr>
        <w:t>邀请反垄断领域专家解读《反垄断法》和《我国电力市场竞争状况评估报告》，对有关司和派出能源监管机构进行培训。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楷体" w:hAnsi="楷体" w:eastAsia="楷体" w:cs="宋体"/>
          <w:b/>
          <w:bCs/>
        </w:rPr>
        <w:t>（二十）研究能源（电力）体制改革中的垄断形势和反垄断执法问题。</w:t>
      </w:r>
      <w:r>
        <w:rPr>
          <w:rFonts w:hint="eastAsia"/>
        </w:rPr>
        <w:t>组织课题单位和派出机构，研究分析能源领域，特别是电力体制改革过程中垄断的表现形式、反垄断的制度支撑和执法依据等，为电力反垄断执法提供决策参考。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六、加强资质管理队伍能力建设</w:t>
      </w:r>
    </w:p>
    <w:p>
      <w:pPr>
        <w:ind w:firstLine="645"/>
      </w:pPr>
      <w:r>
        <w:rPr>
          <w:rFonts w:hint="eastAsia" w:ascii="楷体" w:hAnsi="楷体" w:eastAsia="楷体"/>
          <w:b/>
          <w:bCs/>
        </w:rPr>
        <w:t>（二十一）加强资质管理业务培训。</w:t>
      </w:r>
      <w:r>
        <w:rPr>
          <w:rFonts w:hint="eastAsia"/>
        </w:rPr>
        <w:t>结合资质管理业务实际需要，组织相关课题的研究与学习，重点针对电力业务许可制度执行情况的现状及存在的问题、制约电力业务许可证功效发挥的关键因素、促进许可证功效发挥的对策建议等专题组织培训研讨，进一步提升资质管理一线工作人员业务能力，提升监管效能。</w:t>
      </w:r>
    </w:p>
    <w:p>
      <w:pPr>
        <w:ind w:firstLine="645"/>
        <w:rPr>
          <w:rFonts w:cs="Tahoma"/>
        </w:rPr>
      </w:pPr>
      <w:r>
        <w:rPr>
          <w:rFonts w:hint="eastAsia" w:ascii="楷体" w:hAnsi="楷体" w:eastAsia="楷体"/>
          <w:b/>
          <w:bCs/>
        </w:rPr>
        <w:t>（</w:t>
      </w:r>
      <w:r>
        <w:rPr>
          <w:rFonts w:hint="eastAsia" w:ascii="楷体" w:hAnsi="楷体" w:eastAsia="楷体" w:cs="Tahoma"/>
          <w:b/>
          <w:bCs/>
        </w:rPr>
        <w:t>二十二）</w:t>
      </w:r>
      <w:r>
        <w:rPr>
          <w:rFonts w:hint="eastAsia" w:ascii="楷体" w:hAnsi="楷体" w:eastAsia="楷体"/>
          <w:b/>
          <w:bCs/>
        </w:rPr>
        <w:t>加强资质管理工作的统筹协调。</w:t>
      </w:r>
      <w:r>
        <w:rPr>
          <w:rFonts w:hint="eastAsia"/>
        </w:rPr>
        <w:t>研究完善新形势下资质管理</w:t>
      </w:r>
      <w:r>
        <w:rPr>
          <w:rFonts w:hint="eastAsia" w:cs="Tahoma"/>
        </w:rPr>
        <w:t>工作协调沟通机制，加强在能源规划、计划、政策、监管以及安全生产中的衔接，</w:t>
      </w:r>
      <w:r>
        <w:rPr>
          <w:rFonts w:hint="eastAsia"/>
        </w:rPr>
        <w:t>形成工作合力</w:t>
      </w:r>
      <w:r>
        <w:rPr>
          <w:rFonts w:hint="eastAsia" w:cs="Tahoma"/>
        </w:rPr>
        <w:t>。加强对各派出能源监管机构有关许可工作的监督与指导，进一步规范行政许可行为；按照简政放权的精神，加强与行业协会的联系，共同推动资质管理工作高效运转。</w:t>
      </w:r>
    </w:p>
    <w:p>
      <w:pPr>
        <w:ind w:firstLine="645"/>
      </w:pPr>
      <w:bookmarkStart w:id="0" w:name="_GoBack"/>
      <w:r>
        <w:rPr>
          <w:rFonts w:hint="eastAsia" w:ascii="楷体" w:hAnsi="楷体" w:eastAsia="楷体" w:cs="Tahoma"/>
          <w:b/>
          <w:bCs/>
        </w:rPr>
        <w:t>（二十三）</w:t>
      </w:r>
      <w:r>
        <w:rPr>
          <w:rFonts w:hint="eastAsia" w:ascii="楷体" w:hAnsi="楷体" w:eastAsia="楷体"/>
          <w:b/>
          <w:bCs/>
        </w:rPr>
        <w:t>继续加强党建工作。</w:t>
      </w:r>
      <w:bookmarkEnd w:id="0"/>
      <w:r>
        <w:rPr>
          <w:rFonts w:hint="eastAsia"/>
        </w:rPr>
        <w:t>认真贯彻落实全面从严治党要求，严格落实领导干部“一岗双责”和党风廉政建设“两个责任”。不断加强思想政治教育，持续推进“两学一做”教育，强化党员党性观念，严格党内政治生活，</w:t>
      </w:r>
      <w:r>
        <w:rPr>
          <w:rStyle w:val="5"/>
          <w:rFonts w:hint="eastAsia" w:cs="Arial"/>
          <w:b w:val="0"/>
        </w:rPr>
        <w:t>强化“四个意识”，</w:t>
      </w:r>
      <w:r>
        <w:rPr>
          <w:rFonts w:hint="eastAsia"/>
        </w:rPr>
        <w:t>以更高的标准向党中央看齐、向党的理论方针政策看齐。</w:t>
      </w:r>
    </w:p>
    <w:p>
      <w:pPr>
        <w:ind w:firstLine="640" w:firstLineChars="200"/>
        <w:rPr>
          <w:rFonts w:ascii="黑体" w:hAnsi="黑体" w:eastAsia="黑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Arial"/>
      </w:rPr>
    </w:pPr>
    <w:r>
      <w:rPr>
        <w:rStyle w:val="6"/>
        <w:rFonts w:cs="Arial"/>
      </w:rPr>
      <w:fldChar w:fldCharType="begin"/>
    </w:r>
    <w:r>
      <w:rPr>
        <w:rStyle w:val="6"/>
        <w:rFonts w:cs="Arial"/>
      </w:rPr>
      <w:instrText xml:space="preserve">PAGE  </w:instrText>
    </w:r>
    <w:r>
      <w:rPr>
        <w:rStyle w:val="6"/>
        <w:rFonts w:cs="Arial"/>
      </w:rPr>
      <w:fldChar w:fldCharType="separate"/>
    </w:r>
    <w:r>
      <w:rPr>
        <w:rStyle w:val="6"/>
        <w:rFonts w:cs="Arial"/>
      </w:rPr>
      <w:t>- 7 -</w:t>
    </w:r>
    <w:r>
      <w:rPr>
        <w:rStyle w:val="6"/>
        <w:rFonts w:cs="Arial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Arial"/>
      </w:rPr>
    </w:pPr>
    <w:r>
      <w:rPr>
        <w:rStyle w:val="6"/>
        <w:rFonts w:cs="Arial"/>
      </w:rPr>
      <w:fldChar w:fldCharType="begin"/>
    </w:r>
    <w:r>
      <w:rPr>
        <w:rStyle w:val="6"/>
        <w:rFonts w:cs="Arial"/>
      </w:rPr>
      <w:instrText xml:space="preserve">PAGE  </w:instrText>
    </w:r>
    <w:r>
      <w:rPr>
        <w:rStyle w:val="6"/>
        <w:rFonts w:cs="Arial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671"/>
    <w:rsid w:val="00004DB3"/>
    <w:rsid w:val="000102F9"/>
    <w:rsid w:val="00075B92"/>
    <w:rsid w:val="00097E09"/>
    <w:rsid w:val="000C5D4D"/>
    <w:rsid w:val="000E59BF"/>
    <w:rsid w:val="00101E1F"/>
    <w:rsid w:val="00147D53"/>
    <w:rsid w:val="0017557A"/>
    <w:rsid w:val="001937E6"/>
    <w:rsid w:val="001B0FEA"/>
    <w:rsid w:val="001B1BF7"/>
    <w:rsid w:val="001D0830"/>
    <w:rsid w:val="00222FD5"/>
    <w:rsid w:val="00247CE1"/>
    <w:rsid w:val="00256A17"/>
    <w:rsid w:val="0028650B"/>
    <w:rsid w:val="002F3DDB"/>
    <w:rsid w:val="00390D6F"/>
    <w:rsid w:val="003E707E"/>
    <w:rsid w:val="003F79CC"/>
    <w:rsid w:val="0041493F"/>
    <w:rsid w:val="0042639D"/>
    <w:rsid w:val="00427E52"/>
    <w:rsid w:val="00480E94"/>
    <w:rsid w:val="004944B8"/>
    <w:rsid w:val="004F4EE7"/>
    <w:rsid w:val="004F6C99"/>
    <w:rsid w:val="00561E19"/>
    <w:rsid w:val="005864EB"/>
    <w:rsid w:val="00595352"/>
    <w:rsid w:val="005C3D18"/>
    <w:rsid w:val="005C7157"/>
    <w:rsid w:val="005E7F3F"/>
    <w:rsid w:val="00610731"/>
    <w:rsid w:val="0061427A"/>
    <w:rsid w:val="00642F2A"/>
    <w:rsid w:val="00644535"/>
    <w:rsid w:val="00646F46"/>
    <w:rsid w:val="0065113A"/>
    <w:rsid w:val="006630AF"/>
    <w:rsid w:val="006D6848"/>
    <w:rsid w:val="006F1F4B"/>
    <w:rsid w:val="0073747D"/>
    <w:rsid w:val="0074117F"/>
    <w:rsid w:val="007501FA"/>
    <w:rsid w:val="0075245F"/>
    <w:rsid w:val="00765A91"/>
    <w:rsid w:val="007705C6"/>
    <w:rsid w:val="007C2E68"/>
    <w:rsid w:val="007C4DF7"/>
    <w:rsid w:val="00802B1A"/>
    <w:rsid w:val="00843CF3"/>
    <w:rsid w:val="00846DFE"/>
    <w:rsid w:val="0089306B"/>
    <w:rsid w:val="008F16C0"/>
    <w:rsid w:val="008F6967"/>
    <w:rsid w:val="00992B27"/>
    <w:rsid w:val="009A2F16"/>
    <w:rsid w:val="009D2CE9"/>
    <w:rsid w:val="00A04EAD"/>
    <w:rsid w:val="00A3435F"/>
    <w:rsid w:val="00A37247"/>
    <w:rsid w:val="00AF534B"/>
    <w:rsid w:val="00B35DB4"/>
    <w:rsid w:val="00B52406"/>
    <w:rsid w:val="00B608D6"/>
    <w:rsid w:val="00B6670C"/>
    <w:rsid w:val="00B7779A"/>
    <w:rsid w:val="00BC0A9B"/>
    <w:rsid w:val="00BD39F0"/>
    <w:rsid w:val="00BE6EF7"/>
    <w:rsid w:val="00C268DC"/>
    <w:rsid w:val="00C55D99"/>
    <w:rsid w:val="00C87259"/>
    <w:rsid w:val="00CA48F5"/>
    <w:rsid w:val="00CE1822"/>
    <w:rsid w:val="00CF52A9"/>
    <w:rsid w:val="00D14BAE"/>
    <w:rsid w:val="00D2105B"/>
    <w:rsid w:val="00D32AE6"/>
    <w:rsid w:val="00D52711"/>
    <w:rsid w:val="00D74A87"/>
    <w:rsid w:val="00D8694E"/>
    <w:rsid w:val="00D9383A"/>
    <w:rsid w:val="00DF1A4F"/>
    <w:rsid w:val="00E039C1"/>
    <w:rsid w:val="00E15473"/>
    <w:rsid w:val="00E20B9A"/>
    <w:rsid w:val="00E3730C"/>
    <w:rsid w:val="00E7334B"/>
    <w:rsid w:val="00EA4671"/>
    <w:rsid w:val="00EE519C"/>
    <w:rsid w:val="00F24C6D"/>
    <w:rsid w:val="00F3396B"/>
    <w:rsid w:val="00F33D08"/>
    <w:rsid w:val="00FB65EE"/>
    <w:rsid w:val="00FD3372"/>
    <w:rsid w:val="00FE7789"/>
    <w:rsid w:val="00FF5273"/>
    <w:rsid w:val="00FF7173"/>
    <w:rsid w:val="750B1E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Arial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styleId="6">
    <w:name w:val="page number"/>
    <w:basedOn w:val="4"/>
    <w:uiPriority w:val="99"/>
    <w:rPr>
      <w:rFonts w:cs="Times New Roman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Char"/>
    <w:basedOn w:val="4"/>
    <w:link w:val="2"/>
    <w:semiHidden/>
    <w:qFormat/>
    <w:locked/>
    <w:uiPriority w:val="99"/>
    <w:rPr>
      <w:rFonts w:ascii="仿宋" w:hAnsi="仿宋" w:eastAsia="仿宋" w:cs="Arial"/>
      <w:color w:val="000000"/>
      <w:sz w:val="18"/>
      <w:szCs w:val="18"/>
    </w:rPr>
  </w:style>
  <w:style w:type="character" w:customStyle="1" w:styleId="10">
    <w:name w:val="页眉 Char"/>
    <w:basedOn w:val="4"/>
    <w:link w:val="3"/>
    <w:qFormat/>
    <w:uiPriority w:val="99"/>
    <w:rPr>
      <w:rFonts w:ascii="仿宋" w:hAnsi="仿宋" w:eastAsia="仿宋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464</Words>
  <Characters>2645</Characters>
  <Lines>22</Lines>
  <Paragraphs>6</Paragraphs>
  <TotalTime>0</TotalTime>
  <ScaleCrop>false</ScaleCrop>
  <LinksUpToDate>false</LinksUpToDate>
  <CharactersWithSpaces>3103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2017-03-13T00:03:00Z</dcterms:created>
  <dc:creator>dell</dc:creator>
  <cp:lastModifiedBy>he</cp:lastModifiedBy>
  <cp:lastPrinted>2017-02-24T04:09:00Z</cp:lastPrinted>
  <dcterms:modified xsi:type="dcterms:W3CDTF">2017-03-17T07:13:15Z</dcterms:modified>
  <dc:title>2017年资质管理工作重点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